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141C" w14:textId="4A4F32C5" w:rsidR="00725BE1" w:rsidRPr="00101B14" w:rsidRDefault="006C514E" w:rsidP="003E20BA">
      <w:pPr>
        <w:jc w:val="left"/>
        <w:outlineLvl w:val="0"/>
        <w:rPr>
          <w:bCs/>
          <w:lang w:val="en-US"/>
        </w:rPr>
      </w:pPr>
      <w:r>
        <w:rPr>
          <w:lang w:val="en-GB"/>
        </w:rPr>
        <w:t>26/03/202</w:t>
      </w:r>
      <w:r w:rsidR="00F91D3E">
        <w:rPr>
          <w:lang w:val="en-GB"/>
        </w:rPr>
        <w:t>6</w:t>
      </w:r>
    </w:p>
    <w:p w14:paraId="5EEA4332" w14:textId="77777777" w:rsidR="008B60CF" w:rsidRPr="00101B14" w:rsidRDefault="008B60CF" w:rsidP="008B60CF">
      <w:pPr>
        <w:jc w:val="left"/>
        <w:rPr>
          <w:bCs/>
          <w:iCs/>
          <w:lang w:val="en-US"/>
        </w:rPr>
      </w:pPr>
    </w:p>
    <w:p w14:paraId="5C20CAE0" w14:textId="5A0EDA8C" w:rsidR="008B60CF" w:rsidRPr="00101B14" w:rsidRDefault="00A1269C" w:rsidP="008B60CF">
      <w:pPr>
        <w:jc w:val="left"/>
        <w:rPr>
          <w:b/>
          <w:sz w:val="29"/>
          <w:szCs w:val="29"/>
          <w:lang w:val="en-US"/>
        </w:rPr>
      </w:pPr>
      <w:r>
        <w:rPr>
          <w:b/>
          <w:bCs/>
          <w:sz w:val="29"/>
          <w:szCs w:val="29"/>
          <w:lang w:val="en-GB"/>
        </w:rPr>
        <w:t>Wilo Group continues to grow profitably and takes next strategic step in its corporate development</w:t>
      </w:r>
    </w:p>
    <w:p w14:paraId="7113DAEC" w14:textId="1E9D2925" w:rsidR="004F7A3A" w:rsidRPr="00101B14" w:rsidRDefault="00A1269C" w:rsidP="004F7A3A">
      <w:pPr>
        <w:rPr>
          <w:rFonts w:eastAsia="Calibri" w:cs="Arial"/>
          <w:lang w:val="en-US"/>
        </w:rPr>
      </w:pPr>
      <w:r>
        <w:rPr>
          <w:rFonts w:eastAsia="Calibri" w:cs="Arial"/>
          <w:lang w:val="en-GB"/>
        </w:rPr>
        <w:t xml:space="preserve">The technology group has increased EBITDA by 39% and </w:t>
      </w:r>
      <w:r w:rsidR="00F91D3E" w:rsidRPr="00F91D3E">
        <w:rPr>
          <w:rFonts w:eastAsia="Calibri" w:cs="Arial"/>
          <w:lang w:val="en-US"/>
        </w:rPr>
        <w:t>consolidated net income</w:t>
      </w:r>
      <w:r>
        <w:rPr>
          <w:rFonts w:eastAsia="Calibri" w:cs="Arial"/>
          <w:lang w:val="en-GB"/>
        </w:rPr>
        <w:t xml:space="preserve"> by 240%</w:t>
      </w:r>
    </w:p>
    <w:p w14:paraId="21C290FD" w14:textId="77777777" w:rsidR="00FE6C1E" w:rsidRPr="00101B14" w:rsidRDefault="00FE6C1E" w:rsidP="00462C02">
      <w:pPr>
        <w:rPr>
          <w:rFonts w:eastAsia="Calibri" w:cs="Arial"/>
          <w:lang w:val="en-US"/>
        </w:rPr>
      </w:pPr>
    </w:p>
    <w:p w14:paraId="4FA4B18A" w14:textId="41097974" w:rsidR="006C514E" w:rsidRPr="00101B14" w:rsidRDefault="005D0021" w:rsidP="00463F6E">
      <w:pPr>
        <w:rPr>
          <w:rFonts w:eastAsia="Calibri" w:cs="Arial"/>
          <w:bCs/>
          <w:lang w:val="en-US"/>
        </w:rPr>
      </w:pPr>
      <w:r>
        <w:rPr>
          <w:rFonts w:eastAsia="Calibri" w:cs="Arial"/>
          <w:b/>
          <w:bCs/>
          <w:lang w:val="en-GB"/>
        </w:rPr>
        <w:t>Dortmund.</w:t>
      </w:r>
      <w:r>
        <w:rPr>
          <w:rFonts w:eastAsia="Calibri" w:cs="Arial"/>
          <w:lang w:val="en-GB"/>
        </w:rPr>
        <w:t xml:space="preserve"> Wilo has had a successful financial year in 2025. With a currency-adjusted sales increase of 4.5%, the water technology group has continued its profitable growth trajectory. </w:t>
      </w:r>
      <w:r w:rsidR="00E00948" w:rsidRPr="00D55B88">
        <w:rPr>
          <w:rFonts w:eastAsia="Calibri" w:cs="Arial"/>
          <w:lang w:val="en-US"/>
        </w:rPr>
        <w:t>Total n</w:t>
      </w:r>
      <w:r w:rsidR="009E4F0B" w:rsidRPr="00D55B88">
        <w:rPr>
          <w:rFonts w:eastAsia="Calibri" w:cs="Arial"/>
          <w:lang w:val="en-US"/>
        </w:rPr>
        <w:t xml:space="preserve">et sales </w:t>
      </w:r>
      <w:r>
        <w:rPr>
          <w:rFonts w:eastAsia="Calibri" w:cs="Arial"/>
          <w:lang w:val="en-GB"/>
        </w:rPr>
        <w:t xml:space="preserve">rose to €1,918.7 million. Earnings before interest, taxes, depreciation and amortisation (EBITDA) rose as planned by 39% to €212 million. The EBITDA margin improved to 11.1%. As a result, </w:t>
      </w:r>
      <w:r w:rsidR="00F91D3E" w:rsidRPr="00F91D3E">
        <w:rPr>
          <w:rFonts w:eastAsia="Calibri" w:cs="Arial"/>
          <w:lang w:val="en-US"/>
        </w:rPr>
        <w:t>consolidated net income</w:t>
      </w:r>
      <w:r w:rsidR="00F91D3E">
        <w:rPr>
          <w:rFonts w:eastAsia="Calibri" w:cs="Arial"/>
          <w:lang w:val="en-GB"/>
        </w:rPr>
        <w:t xml:space="preserve"> </w:t>
      </w:r>
      <w:r>
        <w:rPr>
          <w:rFonts w:eastAsia="Calibri" w:cs="Arial"/>
          <w:lang w:val="en-GB"/>
        </w:rPr>
        <w:t>rose by €45.8 million to €65 million. This corresponds to growth of nearly 240%. Cash flow from operating activities remained at a high level at €167.3 million. Free cash flow rose by more than 80% to €66.4 million.</w:t>
      </w:r>
    </w:p>
    <w:p w14:paraId="746AF262" w14:textId="77777777" w:rsidR="00463F6E" w:rsidRPr="00101B14" w:rsidRDefault="00463F6E" w:rsidP="00463F6E">
      <w:pPr>
        <w:rPr>
          <w:rFonts w:eastAsia="Calibri" w:cs="Arial"/>
          <w:bCs/>
          <w:lang w:val="en-US"/>
        </w:rPr>
      </w:pPr>
    </w:p>
    <w:p w14:paraId="0F1BB6CF" w14:textId="49752D55" w:rsidR="006C514E" w:rsidRPr="00101B14" w:rsidRDefault="00463F6E" w:rsidP="001A14DF">
      <w:pPr>
        <w:rPr>
          <w:rFonts w:eastAsia="Calibri" w:cs="Arial"/>
          <w:bCs/>
          <w:lang w:val="en-US"/>
        </w:rPr>
      </w:pPr>
      <w:r>
        <w:rPr>
          <w:rFonts w:eastAsia="Calibri" w:cs="Arial"/>
          <w:lang w:val="en-GB"/>
        </w:rPr>
        <w:t xml:space="preserve">“The key figures from 2025 clearly show that our bold entrepreneurial decisions and our long-term strategic alignment are proving effective”, says Oliver Hermes, President &amp; Global CEO of the Wilo Group. “The consistent regionalisation of our organisational structure under our established region-for-region strategy, together with the associated transformation of the Group, have made us more efficient, closer to our customers and more resilient. This has created the optimal organisational framework within the Wilo Group to accelerate work on our overarching sustainability strategy.” </w:t>
      </w:r>
      <w:proofErr w:type="gramStart"/>
      <w:r>
        <w:rPr>
          <w:rFonts w:eastAsia="Calibri" w:cs="Arial"/>
          <w:lang w:val="en-GB"/>
        </w:rPr>
        <w:t>In light of</w:t>
      </w:r>
      <w:proofErr w:type="gramEnd"/>
      <w:r>
        <w:rPr>
          <w:rFonts w:eastAsia="Calibri" w:cs="Arial"/>
          <w:lang w:val="en-GB"/>
        </w:rPr>
        <w:t xml:space="preserve"> these successes, the Wilo CEO stated that the company is ready to take the next important step in its strategy.</w:t>
      </w:r>
    </w:p>
    <w:p w14:paraId="6A4EEDBE" w14:textId="77777777" w:rsidR="008F77FA" w:rsidRPr="00101B14" w:rsidRDefault="008F77FA" w:rsidP="001A14DF">
      <w:pPr>
        <w:rPr>
          <w:rFonts w:eastAsia="Calibri" w:cs="Arial"/>
          <w:bCs/>
          <w:lang w:val="en-US"/>
        </w:rPr>
      </w:pPr>
    </w:p>
    <w:p w14:paraId="42533AF4" w14:textId="398E7E7F" w:rsidR="004720CA" w:rsidRPr="00101B14" w:rsidRDefault="004720CA" w:rsidP="004720CA">
      <w:pPr>
        <w:rPr>
          <w:rFonts w:eastAsia="Calibri" w:cs="Arial"/>
          <w:bCs/>
          <w:lang w:val="en-US"/>
        </w:rPr>
      </w:pPr>
      <w:r>
        <w:rPr>
          <w:rFonts w:eastAsia="Calibri" w:cs="Arial"/>
          <w:lang w:val="en-GB"/>
        </w:rPr>
        <w:t xml:space="preserve">“In the past year, we have defined Wilo’s strategic response to the digital and AI age. The WATER-AI strategy is built on three pillars: We integrate AI into our solutions, which in turn generates sustainable impact in the market. This also involves enabling the AI value chain. And, of course, we are embracing AI in our day-to-day work”, adds Hermes. “The next logical step is to merge the </w:t>
      </w:r>
      <w:r>
        <w:rPr>
          <w:rFonts w:eastAsia="Calibri" w:cs="Arial"/>
          <w:lang w:val="en-GB"/>
        </w:rPr>
        <w:lastRenderedPageBreak/>
        <w:t>sustainability and WATER-AI strategies into the Group strategy ‘Pioneering WATER AI for You’. This merger reflects our belief that sustainability</w:t>
      </w:r>
      <w:r w:rsidR="00101B14">
        <w:rPr>
          <w:rFonts w:eastAsia="Calibri" w:cs="Arial"/>
          <w:lang w:val="en-GB"/>
        </w:rPr>
        <w:t xml:space="preserve"> commitment</w:t>
      </w:r>
      <w:r>
        <w:rPr>
          <w:rFonts w:eastAsia="Calibri" w:cs="Arial"/>
          <w:lang w:val="en-GB"/>
        </w:rPr>
        <w:t xml:space="preserve"> must be considered in symbiosis with artificial intelligence. AI is arguably the most significant lever for sustainable development.”</w:t>
      </w:r>
    </w:p>
    <w:p w14:paraId="19506027" w14:textId="77777777" w:rsidR="004720CA" w:rsidRPr="00101B14" w:rsidRDefault="004720CA" w:rsidP="001A14DF">
      <w:pPr>
        <w:rPr>
          <w:rFonts w:eastAsia="Calibri" w:cs="Arial"/>
          <w:bCs/>
          <w:lang w:val="en-US"/>
        </w:rPr>
      </w:pPr>
    </w:p>
    <w:p w14:paraId="5ECF25E9" w14:textId="6028D2E8" w:rsidR="0041748A" w:rsidRPr="00101B14" w:rsidRDefault="0041748A" w:rsidP="001A14DF">
      <w:pPr>
        <w:rPr>
          <w:rFonts w:eastAsia="Calibri" w:cs="Arial"/>
          <w:bCs/>
          <w:lang w:val="en-US"/>
        </w:rPr>
      </w:pPr>
      <w:r>
        <w:rPr>
          <w:lang w:val="en-GB"/>
        </w:rPr>
        <w:t xml:space="preserve">The past financial year was successful for Wilo not only in terms of financial performance and strategic progress, but also in achieving sustainability milestones together. As a result, the water technology group was awarded </w:t>
      </w:r>
      <w:hyperlink r:id="rId11" w:history="1">
        <w:r>
          <w:rPr>
            <w:rStyle w:val="Hyperlink"/>
            <w:rFonts w:eastAsia="Calibri" w:cs="Arial"/>
            <w:lang w:val="en-GB"/>
          </w:rPr>
          <w:t>the EcoVadis Platinum Medal for the fourth consecutive yea</w:t>
        </w:r>
        <w:r>
          <w:rPr>
            <w:rStyle w:val="Hyperlink"/>
            <w:rFonts w:eastAsia="Calibri" w:cs="Arial"/>
            <w:lang w:val="en-GB"/>
          </w:rPr>
          <w:t>r</w:t>
        </w:r>
        <w:r>
          <w:rPr>
            <w:rStyle w:val="Hyperlink"/>
            <w:rFonts w:eastAsia="Calibri" w:cs="Arial"/>
            <w:lang w:val="en-GB"/>
          </w:rPr>
          <w:t xml:space="preserve"> (“Outstanding” in 2025 and 2026),</w:t>
        </w:r>
      </w:hyperlink>
      <w:r>
        <w:rPr>
          <w:lang w:val="en-GB"/>
        </w:rPr>
        <w:t xml:space="preserve"> received </w:t>
      </w:r>
      <w:hyperlink r:id="rId12" w:history="1">
        <w:r>
          <w:rPr>
            <w:rStyle w:val="Hyperlink"/>
            <w:rFonts w:eastAsia="Calibri" w:cs="Arial"/>
            <w:lang w:val="en-GB"/>
          </w:rPr>
          <w:t>the German Sustainab</w:t>
        </w:r>
        <w:r>
          <w:rPr>
            <w:rStyle w:val="Hyperlink"/>
            <w:rFonts w:eastAsia="Calibri" w:cs="Arial"/>
            <w:lang w:val="en-GB"/>
          </w:rPr>
          <w:t>i</w:t>
        </w:r>
        <w:r>
          <w:rPr>
            <w:rStyle w:val="Hyperlink"/>
            <w:rFonts w:eastAsia="Calibri" w:cs="Arial"/>
            <w:lang w:val="en-GB"/>
          </w:rPr>
          <w:t>lity Award for the second time</w:t>
        </w:r>
      </w:hyperlink>
      <w:r>
        <w:rPr>
          <w:lang w:val="en-GB"/>
        </w:rPr>
        <w:t xml:space="preserve">, and was included in the </w:t>
      </w:r>
      <w:hyperlink r:id="rId13" w:history="1">
        <w:r>
          <w:rPr>
            <w:rStyle w:val="Hyperlink"/>
            <w:lang w:val="en-GB"/>
          </w:rPr>
          <w:t>A List of the renowned Carbon</w:t>
        </w:r>
        <w:r>
          <w:rPr>
            <w:rStyle w:val="Hyperlink"/>
            <w:lang w:val="en-GB"/>
          </w:rPr>
          <w:t xml:space="preserve"> </w:t>
        </w:r>
        <w:r>
          <w:rPr>
            <w:rStyle w:val="Hyperlink"/>
            <w:lang w:val="en-GB"/>
          </w:rPr>
          <w:t>Disclosure Project (CDP)</w:t>
        </w:r>
      </w:hyperlink>
      <w:r>
        <w:rPr>
          <w:lang w:val="en-GB"/>
        </w:rPr>
        <w:t xml:space="preserve">. In addition, in 2025 Wilo laid key foundations for the </w:t>
      </w:r>
      <w:hyperlink r:id="rId14" w:history="1">
        <w:r>
          <w:rPr>
            <w:rStyle w:val="Hyperlink"/>
            <w:rFonts w:eastAsia="Calibri" w:cs="Arial"/>
            <w:lang w:val="en-GB"/>
          </w:rPr>
          <w:t>estab</w:t>
        </w:r>
        <w:r>
          <w:rPr>
            <w:rStyle w:val="Hyperlink"/>
            <w:rFonts w:eastAsia="Calibri" w:cs="Arial"/>
            <w:lang w:val="en-GB"/>
          </w:rPr>
          <w:t>l</w:t>
        </w:r>
        <w:r>
          <w:rPr>
            <w:rStyle w:val="Hyperlink"/>
            <w:rFonts w:eastAsia="Calibri" w:cs="Arial"/>
            <w:lang w:val="en-GB"/>
          </w:rPr>
          <w:t>ishment of the Wilo Global WATER AI Academy</w:t>
        </w:r>
      </w:hyperlink>
      <w:r>
        <w:rPr>
          <w:lang w:val="en-GB"/>
        </w:rPr>
        <w:t xml:space="preserve"> in 2026 and the </w:t>
      </w:r>
      <w:hyperlink r:id="rId15" w:history="1">
        <w:r>
          <w:rPr>
            <w:rStyle w:val="Hyperlink"/>
            <w:rFonts w:eastAsia="Calibri" w:cs="Arial"/>
            <w:lang w:val="en-GB"/>
          </w:rPr>
          <w:t>substantial expan</w:t>
        </w:r>
        <w:r>
          <w:rPr>
            <w:rStyle w:val="Hyperlink"/>
            <w:rFonts w:eastAsia="Calibri" w:cs="Arial"/>
            <w:lang w:val="en-GB"/>
          </w:rPr>
          <w:t>s</w:t>
        </w:r>
        <w:r>
          <w:rPr>
            <w:rStyle w:val="Hyperlink"/>
            <w:rFonts w:eastAsia="Calibri" w:cs="Arial"/>
            <w:lang w:val="en-GB"/>
          </w:rPr>
          <w:t>ion of Group-wide Global Health Management</w:t>
        </w:r>
      </w:hyperlink>
      <w:r>
        <w:rPr>
          <w:lang w:val="en-GB"/>
        </w:rPr>
        <w:t>, which will reach a further milestone with the opening of the Health Cube health centre on 27 March 2026.</w:t>
      </w:r>
    </w:p>
    <w:p w14:paraId="1DF13E84" w14:textId="77777777" w:rsidR="006D107B" w:rsidRPr="00101B14" w:rsidRDefault="006D107B" w:rsidP="001A14DF">
      <w:pPr>
        <w:rPr>
          <w:rFonts w:eastAsia="Calibri" w:cs="Arial"/>
          <w:bCs/>
          <w:lang w:val="en-US"/>
        </w:rPr>
      </w:pPr>
    </w:p>
    <w:p w14:paraId="2B32BE68" w14:textId="20A758ED" w:rsidR="00F91D3E" w:rsidRDefault="006D107B" w:rsidP="001A14DF">
      <w:pPr>
        <w:rPr>
          <w:rFonts w:eastAsia="Calibri" w:cs="Arial"/>
          <w:i/>
          <w:iCs/>
          <w:lang w:val="en-GB"/>
        </w:rPr>
      </w:pPr>
      <w:r>
        <w:rPr>
          <w:rFonts w:eastAsia="Calibri" w:cs="Arial"/>
          <w:b/>
          <w:bCs/>
          <w:i/>
          <w:iCs/>
          <w:lang w:val="en-GB"/>
        </w:rPr>
        <w:t>Editorial note:</w:t>
      </w:r>
      <w:r>
        <w:rPr>
          <w:rFonts w:eastAsia="Calibri" w:cs="Arial"/>
          <w:i/>
          <w:iCs/>
          <w:lang w:val="en-GB"/>
        </w:rPr>
        <w:t xml:space="preserve"> The Wilo Annual and Sustainability Report 2025 will be available from 16 April 2026 at </w:t>
      </w:r>
      <w:hyperlink r:id="rId16" w:history="1">
        <w:r>
          <w:rPr>
            <w:rStyle w:val="Hyperlink"/>
            <w:rFonts w:eastAsia="Calibri" w:cs="Arial"/>
            <w:i/>
            <w:iCs/>
            <w:lang w:val="en-GB"/>
          </w:rPr>
          <w:t>www.wilo.com</w:t>
        </w:r>
      </w:hyperlink>
      <w:r>
        <w:rPr>
          <w:rFonts w:eastAsia="Calibri" w:cs="Arial"/>
          <w:i/>
          <w:iCs/>
          <w:lang w:val="en-GB"/>
        </w:rPr>
        <w:t>.</w:t>
      </w:r>
    </w:p>
    <w:p w14:paraId="4F0B4B25" w14:textId="77777777" w:rsidR="00F91D3E" w:rsidRDefault="00F91D3E">
      <w:pPr>
        <w:spacing w:after="200" w:line="276" w:lineRule="auto"/>
        <w:jc w:val="left"/>
        <w:rPr>
          <w:rFonts w:eastAsia="Calibri" w:cs="Arial"/>
          <w:i/>
          <w:iCs/>
          <w:lang w:val="en-GB"/>
        </w:rPr>
      </w:pPr>
      <w:r>
        <w:rPr>
          <w:rFonts w:eastAsia="Calibri" w:cs="Arial"/>
          <w:i/>
          <w:iCs/>
          <w:lang w:val="en-GB"/>
        </w:rPr>
        <w:br w:type="page"/>
      </w:r>
    </w:p>
    <w:p w14:paraId="17C86AA7" w14:textId="52A43621" w:rsidR="00B62BEE" w:rsidRDefault="00CB4445" w:rsidP="001A14DF">
      <w:pPr>
        <w:rPr>
          <w:rFonts w:eastAsia="Calibri" w:cs="Arial"/>
        </w:rPr>
      </w:pPr>
      <w:r>
        <w:rPr>
          <w:b/>
          <w:bCs/>
          <w:noProof/>
          <w:lang w:val="en-GB"/>
        </w:rPr>
        <w:lastRenderedPageBreak/>
        <w:drawing>
          <wp:inline distT="0" distB="0" distL="0" distR="0" wp14:anchorId="00BD6410" wp14:editId="27F1BF73">
            <wp:extent cx="5121910" cy="3620770"/>
            <wp:effectExtent l="0" t="0" r="2540" b="0"/>
            <wp:docPr id="9939623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1910" cy="3620770"/>
                    </a:xfrm>
                    <a:prstGeom prst="rect">
                      <a:avLst/>
                    </a:prstGeom>
                    <a:noFill/>
                    <a:ln>
                      <a:noFill/>
                    </a:ln>
                  </pic:spPr>
                </pic:pic>
              </a:graphicData>
            </a:graphic>
          </wp:inline>
        </w:drawing>
      </w:r>
    </w:p>
    <w:p w14:paraId="7EB05803" w14:textId="6CAAAFCD" w:rsidR="00B62BEE" w:rsidRDefault="00B62BEE" w:rsidP="001A14DF">
      <w:pPr>
        <w:rPr>
          <w:rFonts w:eastAsia="Calibri" w:cs="Arial"/>
        </w:rPr>
      </w:pPr>
      <w:r>
        <w:rPr>
          <w:rFonts w:eastAsia="Calibri" w:cs="Arial"/>
          <w:b/>
          <w:bCs/>
          <w:lang w:val="en-GB"/>
        </w:rPr>
        <w:t>Image caption:</w:t>
      </w:r>
      <w:r>
        <w:rPr>
          <w:rFonts w:eastAsia="Calibri" w:cs="Arial"/>
          <w:lang w:val="en-GB"/>
        </w:rPr>
        <w:t xml:space="preserve"> Wilo – shown here is the Group headquarters, the Wilopark in Dortmund – looks back on a successful 2025 financial year. Image: WILO SE</w:t>
      </w:r>
    </w:p>
    <w:p w14:paraId="0AA1A60F" w14:textId="77777777" w:rsidR="00F91D3E" w:rsidRDefault="00F91D3E" w:rsidP="001A14DF">
      <w:pPr>
        <w:rPr>
          <w:rFonts w:eastAsia="Calibri" w:cs="Arial"/>
        </w:rPr>
      </w:pPr>
    </w:p>
    <w:p w14:paraId="6A0FD803" w14:textId="7F4EBC7B" w:rsidR="00CB4445" w:rsidRDefault="00CB4445" w:rsidP="001A14DF">
      <w:pPr>
        <w:rPr>
          <w:rFonts w:eastAsia="Calibri" w:cs="Arial"/>
        </w:rPr>
      </w:pPr>
      <w:r>
        <w:rPr>
          <w:rFonts w:eastAsia="Calibri" w:cs="Arial"/>
          <w:noProof/>
          <w:lang w:val="en-GB"/>
        </w:rPr>
        <w:lastRenderedPageBreak/>
        <w:drawing>
          <wp:inline distT="0" distB="0" distL="0" distR="0" wp14:anchorId="46065BDB" wp14:editId="498900D5">
            <wp:extent cx="5121910" cy="3620770"/>
            <wp:effectExtent l="0" t="0" r="2540" b="0"/>
            <wp:docPr id="131412639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1910" cy="3620770"/>
                    </a:xfrm>
                    <a:prstGeom prst="rect">
                      <a:avLst/>
                    </a:prstGeom>
                    <a:noFill/>
                    <a:ln>
                      <a:noFill/>
                    </a:ln>
                  </pic:spPr>
                </pic:pic>
              </a:graphicData>
            </a:graphic>
          </wp:inline>
        </w:drawing>
      </w:r>
    </w:p>
    <w:p w14:paraId="7865E572" w14:textId="2EF6B4F6" w:rsidR="00CB4445" w:rsidRDefault="00CB4445" w:rsidP="001A14DF">
      <w:pPr>
        <w:rPr>
          <w:rFonts w:eastAsia="Calibri" w:cs="Arial"/>
        </w:rPr>
      </w:pPr>
      <w:r>
        <w:rPr>
          <w:rFonts w:eastAsia="Calibri" w:cs="Arial"/>
          <w:b/>
          <w:bCs/>
          <w:lang w:val="en-GB"/>
        </w:rPr>
        <w:t>Image caption:</w:t>
      </w:r>
      <w:r>
        <w:rPr>
          <w:rFonts w:eastAsia="Calibri" w:cs="Arial"/>
          <w:lang w:val="en-GB"/>
        </w:rPr>
        <w:t xml:space="preserve"> Oliver Hermes, President &amp; Global CEO of the Wilo Group. Image: WILO SE</w:t>
      </w:r>
    </w:p>
    <w:p w14:paraId="4146B89D" w14:textId="77777777" w:rsidR="00CB4445" w:rsidRPr="00F77DD2" w:rsidRDefault="00CB4445" w:rsidP="001A14DF">
      <w:pPr>
        <w:rPr>
          <w:rFonts w:eastAsia="Calibri" w:cs="Arial"/>
        </w:rPr>
      </w:pPr>
    </w:p>
    <w:p w14:paraId="4187F667" w14:textId="23006F39" w:rsidR="005D0021" w:rsidRPr="00F77DD2" w:rsidRDefault="00B22B54" w:rsidP="005D0021">
      <w:pPr>
        <w:jc w:val="left"/>
        <w:rPr>
          <w:b/>
        </w:rPr>
      </w:pPr>
      <w:r>
        <w:rPr>
          <w:b/>
          <w:bCs/>
          <w:lang w:val="en-GB"/>
        </w:rPr>
        <w:t>Press contact:</w:t>
      </w:r>
    </w:p>
    <w:tbl>
      <w:tblPr>
        <w:tblW w:w="7938" w:type="dxa"/>
        <w:tblLook w:val="04A0" w:firstRow="1" w:lastRow="0" w:firstColumn="1" w:lastColumn="0" w:noHBand="0" w:noVBand="1"/>
      </w:tblPr>
      <w:tblGrid>
        <w:gridCol w:w="3969"/>
        <w:gridCol w:w="3969"/>
      </w:tblGrid>
      <w:tr w:rsidR="002D57F3" w:rsidRPr="00B47EB3" w14:paraId="4DBD2571" w14:textId="77777777" w:rsidTr="002D57F3">
        <w:tc>
          <w:tcPr>
            <w:tcW w:w="3969" w:type="dxa"/>
            <w:tcMar>
              <w:left w:w="0" w:type="dxa"/>
              <w:right w:w="0" w:type="dxa"/>
            </w:tcMar>
          </w:tcPr>
          <w:p w14:paraId="18049B7F" w14:textId="77777777" w:rsidR="00B62BEE" w:rsidRPr="00101B14" w:rsidRDefault="00B62BEE" w:rsidP="00B62BEE">
            <w:pPr>
              <w:jc w:val="left"/>
              <w:rPr>
                <w:lang w:val="en-US"/>
              </w:rPr>
            </w:pPr>
            <w:r>
              <w:rPr>
                <w:lang w:val="en-GB"/>
              </w:rPr>
              <w:t>Silas Schefers</w:t>
            </w:r>
          </w:p>
          <w:p w14:paraId="03CE14F5" w14:textId="77777777" w:rsidR="00105645" w:rsidRPr="00101B14" w:rsidRDefault="00954404" w:rsidP="00B62BEE">
            <w:pPr>
              <w:jc w:val="left"/>
              <w:rPr>
                <w:lang w:val="en-US"/>
              </w:rPr>
            </w:pPr>
            <w:r>
              <w:rPr>
                <w:lang w:val="en-GB"/>
              </w:rPr>
              <w:t>Wilo Group</w:t>
            </w:r>
          </w:p>
          <w:p w14:paraId="1406A8DD" w14:textId="77777777" w:rsidR="00B62BEE" w:rsidRPr="00101B14" w:rsidRDefault="00B62BEE" w:rsidP="00B62BEE">
            <w:pPr>
              <w:jc w:val="left"/>
              <w:rPr>
                <w:lang w:val="en-US"/>
              </w:rPr>
            </w:pPr>
            <w:r>
              <w:rPr>
                <w:lang w:val="en-GB"/>
              </w:rPr>
              <w:t>Tel: +49 231 4102 7160</w:t>
            </w:r>
          </w:p>
          <w:p w14:paraId="5E88E00E" w14:textId="77777777" w:rsidR="00B62BEE" w:rsidRPr="00FD18F4" w:rsidRDefault="00B62BEE" w:rsidP="00B62BEE">
            <w:pPr>
              <w:rPr>
                <w:rFonts w:cs="Calibri"/>
              </w:rPr>
            </w:pPr>
            <w:r>
              <w:rPr>
                <w:lang w:val="en-GB"/>
              </w:rPr>
              <w:t>Mobile: +49 173 895 91 87</w:t>
            </w:r>
          </w:p>
          <w:p w14:paraId="440854A6" w14:textId="77777777" w:rsidR="002D57F3" w:rsidRPr="00FD18F4" w:rsidRDefault="00105645" w:rsidP="00B62BEE">
            <w:pPr>
              <w:jc w:val="left"/>
              <w:rPr>
                <w:rFonts w:ascii="Arial" w:hAnsi="Arial" w:cs="Times New Roman"/>
                <w:sz w:val="2"/>
                <w:szCs w:val="2"/>
              </w:rPr>
            </w:pPr>
            <w:hyperlink r:id="rId19" w:history="1">
              <w:r>
                <w:rPr>
                  <w:rStyle w:val="Hyperlink"/>
                  <w:lang w:val="en-GB"/>
                </w:rPr>
                <w:t>silas.schefers@wilo.com</w:t>
              </w:r>
            </w:hyperlink>
            <w:r>
              <w:rPr>
                <w:lang w:val="en-GB"/>
              </w:rPr>
              <w:t xml:space="preserve"> </w:t>
            </w:r>
          </w:p>
        </w:tc>
        <w:tc>
          <w:tcPr>
            <w:tcW w:w="3969" w:type="dxa"/>
          </w:tcPr>
          <w:p w14:paraId="0EA43CCC" w14:textId="77777777" w:rsidR="002D57F3" w:rsidRPr="00FD18F4" w:rsidRDefault="002D57F3" w:rsidP="00B62BEE">
            <w:pPr>
              <w:jc w:val="left"/>
            </w:pPr>
          </w:p>
        </w:tc>
      </w:tr>
    </w:tbl>
    <w:p w14:paraId="6C5236E4" w14:textId="77777777" w:rsidR="005D0021" w:rsidRPr="00FD18F4" w:rsidRDefault="005D0021" w:rsidP="005D0021">
      <w:pPr>
        <w:ind w:right="-144"/>
        <w:jc w:val="left"/>
      </w:pPr>
    </w:p>
    <w:p w14:paraId="2910B6AD" w14:textId="77777777" w:rsidR="00B22B54" w:rsidRPr="00F80A37" w:rsidRDefault="00B22B54" w:rsidP="00B22B54">
      <w:pPr>
        <w:jc w:val="left"/>
        <w:rPr>
          <w:rFonts w:asciiTheme="majorHAnsi" w:hAnsiTheme="majorHAnsi"/>
          <w:b/>
          <w:sz w:val="14"/>
          <w:szCs w:val="14"/>
        </w:rPr>
      </w:pPr>
      <w:r>
        <w:rPr>
          <w:rFonts w:asciiTheme="majorHAnsi" w:hAnsiTheme="majorHAnsi"/>
          <w:b/>
          <w:bCs/>
          <w:sz w:val="14"/>
          <w:szCs w:val="14"/>
          <w:lang w:val="en-GB"/>
        </w:rPr>
        <w:t>About Wilo:</w:t>
      </w:r>
    </w:p>
    <w:p w14:paraId="013CC96B" w14:textId="77777777" w:rsidR="00B22B54" w:rsidRPr="00101B14" w:rsidRDefault="003004EE" w:rsidP="003004EE">
      <w:pPr>
        <w:autoSpaceDE w:val="0"/>
        <w:autoSpaceDN w:val="0"/>
        <w:adjustRightInd w:val="0"/>
        <w:jc w:val="left"/>
        <w:rPr>
          <w:rFonts w:asciiTheme="minorHAnsi" w:eastAsiaTheme="minorHAnsi" w:hAnsiTheme="minorHAnsi" w:cs="WILOPlusFM"/>
          <w:color w:val="1A1A18"/>
          <w:sz w:val="14"/>
          <w:szCs w:val="14"/>
          <w:lang w:val="en-US"/>
        </w:rPr>
      </w:pPr>
      <w:r>
        <w:rPr>
          <w:rFonts w:asciiTheme="minorHAnsi" w:eastAsiaTheme="minorHAnsi" w:hAnsiTheme="minorHAnsi" w:cs="WILOPlusFM"/>
          <w:color w:val="1A1A18"/>
          <w:sz w:val="14"/>
          <w:szCs w:val="14"/>
          <w:lang w:val="en-GB"/>
        </w:rPr>
        <w:t>Wilo is a pioneer in sustainable and intelligent premium water solutions for global challenges – creating impact for everyone. Our actions are guided by the overarching Wilo sustainability strategy and its core impact areas: Creating, Caring, Connecting. More than 9,000 employees worldwide work every day on innovations with a clear goal: to improve people’s quality of life. In building services, water management and industry, we move, treat and control the most important resource on our planet. For over 150 years, we have been thinking ahead – and today, as an innovation leader in our industry, we are shaping the digital and AI era. This is what we call: Pioneering for You.</w:t>
      </w:r>
    </w:p>
    <w:p w14:paraId="1407B4B0" w14:textId="77777777" w:rsidR="005D0021" w:rsidRPr="00101B14" w:rsidRDefault="005D0021" w:rsidP="005D0021">
      <w:pPr>
        <w:autoSpaceDE w:val="0"/>
        <w:autoSpaceDN w:val="0"/>
        <w:adjustRightInd w:val="0"/>
        <w:jc w:val="left"/>
        <w:rPr>
          <w:rFonts w:asciiTheme="minorHAnsi" w:eastAsiaTheme="minorHAnsi" w:hAnsiTheme="minorHAnsi" w:cs="WILOPlusFM"/>
          <w:color w:val="1A1A18"/>
          <w:sz w:val="14"/>
          <w:szCs w:val="14"/>
          <w:lang w:val="en-US"/>
        </w:rPr>
      </w:pPr>
    </w:p>
    <w:p w14:paraId="06AB7ADD" w14:textId="77777777" w:rsidR="005D0021" w:rsidRPr="00101B14" w:rsidRDefault="00B22B54" w:rsidP="00B62BEE">
      <w:pPr>
        <w:autoSpaceDE w:val="0"/>
        <w:autoSpaceDN w:val="0"/>
        <w:adjustRightInd w:val="0"/>
        <w:jc w:val="left"/>
        <w:rPr>
          <w:rFonts w:asciiTheme="minorHAnsi" w:hAnsiTheme="minorHAnsi"/>
          <w:sz w:val="14"/>
          <w:szCs w:val="14"/>
          <w:lang w:val="en-US"/>
        </w:rPr>
      </w:pPr>
      <w:r>
        <w:rPr>
          <w:rFonts w:asciiTheme="minorHAnsi" w:hAnsiTheme="minorHAnsi"/>
          <w:color w:val="1A1A18"/>
          <w:sz w:val="14"/>
          <w:szCs w:val="14"/>
          <w:lang w:val="en-GB"/>
        </w:rPr>
        <w:t xml:space="preserve">For more information, go to </w:t>
      </w:r>
      <w:hyperlink r:id="rId20" w:history="1">
        <w:r>
          <w:rPr>
            <w:rStyle w:val="Hyperlink"/>
            <w:rFonts w:asciiTheme="minorHAnsi" w:eastAsiaTheme="minorHAnsi" w:hAnsiTheme="minorHAnsi" w:cs="WILOPlusFM"/>
            <w:sz w:val="14"/>
            <w:szCs w:val="14"/>
            <w:lang w:val="en-GB"/>
          </w:rPr>
          <w:t>www.wilo.com</w:t>
        </w:r>
      </w:hyperlink>
      <w:r>
        <w:rPr>
          <w:rFonts w:asciiTheme="minorHAnsi" w:hAnsiTheme="minorHAnsi"/>
          <w:sz w:val="14"/>
          <w:szCs w:val="14"/>
          <w:lang w:val="en-GB"/>
        </w:rPr>
        <w:t>.</w:t>
      </w:r>
    </w:p>
    <w:sectPr w:rsidR="005D0021" w:rsidRPr="00101B14" w:rsidSect="003E20BA">
      <w:headerReference w:type="default" r:id="rId21"/>
      <w:footerReference w:type="default" r:id="rId22"/>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FED5D" w14:textId="77777777" w:rsidR="00037BA5" w:rsidRDefault="00037BA5" w:rsidP="00A81BAD">
      <w:pPr>
        <w:spacing w:line="240" w:lineRule="auto"/>
      </w:pPr>
      <w:r>
        <w:separator/>
      </w:r>
    </w:p>
  </w:endnote>
  <w:endnote w:type="continuationSeparator" w:id="0">
    <w:p w14:paraId="1D6B146A" w14:textId="77777777" w:rsidR="00037BA5" w:rsidRDefault="00037BA5"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5D14AF58" w14:textId="77777777" w:rsidTr="00015019">
      <w:trPr>
        <w:trHeight w:val="80"/>
      </w:trPr>
      <w:tc>
        <w:tcPr>
          <w:tcW w:w="2436" w:type="dxa"/>
        </w:tcPr>
        <w:p w14:paraId="4E0E460A" w14:textId="77777777" w:rsidR="00801F56" w:rsidRPr="00B33D2D" w:rsidRDefault="00B62BEE" w:rsidP="00B33D2D">
          <w:pPr>
            <w:tabs>
              <w:tab w:val="left" w:pos="142"/>
            </w:tabs>
            <w:spacing w:line="180" w:lineRule="atLeast"/>
            <w:rPr>
              <w:color w:val="505050" w:themeColor="accent2"/>
              <w:sz w:val="12"/>
            </w:rPr>
          </w:pPr>
          <w:r w:rsidRPr="00101B14">
            <w:rPr>
              <w:color w:val="505050" w:themeColor="accent2"/>
              <w:sz w:val="12"/>
            </w:rPr>
            <w:br/>
            <w:t>WILO SE</w:t>
          </w:r>
        </w:p>
        <w:p w14:paraId="14A1D0FE" w14:textId="77777777" w:rsidR="00801F56" w:rsidRPr="00B33D2D" w:rsidRDefault="00376656" w:rsidP="00B33D2D">
          <w:pPr>
            <w:tabs>
              <w:tab w:val="left" w:pos="142"/>
            </w:tabs>
            <w:spacing w:line="180" w:lineRule="atLeast"/>
            <w:rPr>
              <w:color w:val="505050" w:themeColor="accent2"/>
              <w:sz w:val="12"/>
            </w:rPr>
          </w:pPr>
          <w:r w:rsidRPr="00101B14">
            <w:rPr>
              <w:color w:val="505050" w:themeColor="accent2"/>
              <w:sz w:val="12"/>
            </w:rPr>
            <w:t>Wilopark 1</w:t>
          </w:r>
        </w:p>
        <w:p w14:paraId="1EDB4E35" w14:textId="77777777" w:rsidR="00801F56" w:rsidRPr="00B33D2D" w:rsidRDefault="00801F56" w:rsidP="00B33D2D">
          <w:pPr>
            <w:tabs>
              <w:tab w:val="left" w:pos="142"/>
            </w:tabs>
            <w:spacing w:line="180" w:lineRule="atLeast"/>
            <w:rPr>
              <w:color w:val="505050" w:themeColor="accent2"/>
              <w:sz w:val="12"/>
            </w:rPr>
          </w:pPr>
          <w:r w:rsidRPr="00101B14">
            <w:rPr>
              <w:color w:val="505050" w:themeColor="accent2"/>
              <w:sz w:val="12"/>
            </w:rPr>
            <w:t>44263 Dortmund</w:t>
          </w:r>
        </w:p>
        <w:p w14:paraId="5E5407FE" w14:textId="77777777" w:rsidR="00801F56" w:rsidRPr="00B33D2D" w:rsidRDefault="00801F56" w:rsidP="00B33D2D">
          <w:pPr>
            <w:tabs>
              <w:tab w:val="left" w:pos="142"/>
            </w:tabs>
            <w:spacing w:line="180" w:lineRule="atLeast"/>
            <w:rPr>
              <w:color w:val="505050" w:themeColor="accent2"/>
              <w:sz w:val="12"/>
            </w:rPr>
          </w:pPr>
          <w:r w:rsidRPr="00101B14">
            <w:rPr>
              <w:color w:val="505050" w:themeColor="accent2"/>
              <w:sz w:val="12"/>
            </w:rPr>
            <w:t>Germany</w:t>
          </w:r>
        </w:p>
      </w:tc>
      <w:tc>
        <w:tcPr>
          <w:tcW w:w="2478" w:type="dxa"/>
        </w:tcPr>
        <w:p w14:paraId="58C372B7" w14:textId="77777777" w:rsidR="00801F56" w:rsidRPr="00B33D2D" w:rsidRDefault="00801F56" w:rsidP="00B33D2D">
          <w:pPr>
            <w:tabs>
              <w:tab w:val="left" w:pos="142"/>
            </w:tabs>
            <w:spacing w:line="180" w:lineRule="atLeast"/>
            <w:rPr>
              <w:color w:val="505050" w:themeColor="accent2"/>
              <w:sz w:val="12"/>
            </w:rPr>
          </w:pPr>
        </w:p>
      </w:tc>
    </w:tr>
  </w:tbl>
  <w:p w14:paraId="7D97AD24"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17F12" w14:textId="77777777" w:rsidR="00037BA5" w:rsidRDefault="00037BA5" w:rsidP="00A81BAD">
      <w:pPr>
        <w:spacing w:line="240" w:lineRule="auto"/>
      </w:pPr>
      <w:r>
        <w:separator/>
      </w:r>
    </w:p>
  </w:footnote>
  <w:footnote w:type="continuationSeparator" w:id="0">
    <w:p w14:paraId="7F611B8B" w14:textId="77777777" w:rsidR="00037BA5" w:rsidRDefault="00037BA5"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E9D8" w14:textId="77777777" w:rsidR="00801F56" w:rsidRDefault="00801F56" w:rsidP="00725BE1">
    <w:pPr>
      <w:pStyle w:val="Kopfzeile"/>
      <w:rPr>
        <w:b/>
        <w:color w:val="008A69"/>
        <w:sz w:val="32"/>
      </w:rPr>
    </w:pPr>
  </w:p>
  <w:p w14:paraId="154EF79C" w14:textId="77777777" w:rsidR="00801F56" w:rsidRDefault="00801F56" w:rsidP="00725BE1">
    <w:pPr>
      <w:pStyle w:val="Kopfzeile"/>
      <w:rPr>
        <w:b/>
        <w:color w:val="008A69"/>
        <w:sz w:val="32"/>
      </w:rPr>
    </w:pPr>
  </w:p>
  <w:p w14:paraId="117DE421" w14:textId="77777777" w:rsidR="00801F56" w:rsidRDefault="00801F56" w:rsidP="00725BE1">
    <w:pPr>
      <w:pStyle w:val="Kopfzeile"/>
      <w:rPr>
        <w:b/>
        <w:color w:val="008A69"/>
        <w:sz w:val="32"/>
      </w:rPr>
    </w:pPr>
  </w:p>
  <w:p w14:paraId="25A59244" w14:textId="77777777" w:rsidR="00801F56" w:rsidRPr="002D57F3" w:rsidRDefault="00801F56" w:rsidP="00725BE1">
    <w:pPr>
      <w:pStyle w:val="Kopfzeile"/>
      <w:rPr>
        <w:b/>
        <w:color w:val="009C82" w:themeColor="accent1"/>
        <w:sz w:val="32"/>
      </w:rPr>
    </w:pPr>
    <w:r>
      <w:rPr>
        <w:b/>
        <w:bCs/>
        <w:color w:val="009C82" w:themeColor="accent1"/>
        <w:sz w:val="32"/>
        <w:lang w:val="en-GB"/>
      </w:rPr>
      <w:t>Press release</w:t>
    </w:r>
  </w:p>
  <w:p w14:paraId="5BE91118" w14:textId="77777777" w:rsidR="00801F56" w:rsidRDefault="00801F56" w:rsidP="00DA28B7">
    <w:pPr>
      <w:pStyle w:val="Kopfzeile"/>
    </w:pPr>
    <w:r>
      <w:rPr>
        <w:noProof/>
        <w:lang w:val="en-GB"/>
      </w:rPr>
      <w:drawing>
        <wp:anchor distT="0" distB="0" distL="114300" distR="114300" simplePos="0" relativeHeight="251663360" behindDoc="1" locked="1" layoutInCell="1" allowOverlap="1" wp14:anchorId="5839AF81" wp14:editId="380EBA0F">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FD18F4"/>
    <w:rsid w:val="0000597F"/>
    <w:rsid w:val="000075FE"/>
    <w:rsid w:val="000123F4"/>
    <w:rsid w:val="00015019"/>
    <w:rsid w:val="00017C28"/>
    <w:rsid w:val="00024127"/>
    <w:rsid w:val="00035436"/>
    <w:rsid w:val="00037BA5"/>
    <w:rsid w:val="00040C8C"/>
    <w:rsid w:val="00041B6C"/>
    <w:rsid w:val="00046472"/>
    <w:rsid w:val="000B742A"/>
    <w:rsid w:val="000B74E5"/>
    <w:rsid w:val="000C020C"/>
    <w:rsid w:val="000C3E61"/>
    <w:rsid w:val="000D0A6A"/>
    <w:rsid w:val="000F0E62"/>
    <w:rsid w:val="000F2398"/>
    <w:rsid w:val="000F4857"/>
    <w:rsid w:val="00101B14"/>
    <w:rsid w:val="00105645"/>
    <w:rsid w:val="00133B82"/>
    <w:rsid w:val="0014363E"/>
    <w:rsid w:val="001473CB"/>
    <w:rsid w:val="00147E86"/>
    <w:rsid w:val="0015646E"/>
    <w:rsid w:val="00162A25"/>
    <w:rsid w:val="00172A94"/>
    <w:rsid w:val="00175B40"/>
    <w:rsid w:val="001A14DF"/>
    <w:rsid w:val="001A2D56"/>
    <w:rsid w:val="001C6241"/>
    <w:rsid w:val="001D0B21"/>
    <w:rsid w:val="001E47A8"/>
    <w:rsid w:val="001E4D6A"/>
    <w:rsid w:val="001E5266"/>
    <w:rsid w:val="001E52B4"/>
    <w:rsid w:val="001E54D7"/>
    <w:rsid w:val="001E5AD5"/>
    <w:rsid w:val="001F3660"/>
    <w:rsid w:val="001F4FA0"/>
    <w:rsid w:val="001F5188"/>
    <w:rsid w:val="00202FA0"/>
    <w:rsid w:val="00210B5B"/>
    <w:rsid w:val="00215C1E"/>
    <w:rsid w:val="002165F4"/>
    <w:rsid w:val="0022443F"/>
    <w:rsid w:val="00230D75"/>
    <w:rsid w:val="0023786C"/>
    <w:rsid w:val="00240BD4"/>
    <w:rsid w:val="00246620"/>
    <w:rsid w:val="00246CC1"/>
    <w:rsid w:val="0025040C"/>
    <w:rsid w:val="00254E3D"/>
    <w:rsid w:val="002608A7"/>
    <w:rsid w:val="00261CDB"/>
    <w:rsid w:val="00273069"/>
    <w:rsid w:val="002763F2"/>
    <w:rsid w:val="002A1E43"/>
    <w:rsid w:val="002A469D"/>
    <w:rsid w:val="002C472E"/>
    <w:rsid w:val="002D2597"/>
    <w:rsid w:val="002D57F3"/>
    <w:rsid w:val="002D75CA"/>
    <w:rsid w:val="002E36DF"/>
    <w:rsid w:val="002E538F"/>
    <w:rsid w:val="002F21D9"/>
    <w:rsid w:val="002F561C"/>
    <w:rsid w:val="003000E6"/>
    <w:rsid w:val="003004EE"/>
    <w:rsid w:val="00307242"/>
    <w:rsid w:val="0031629E"/>
    <w:rsid w:val="003359E9"/>
    <w:rsid w:val="00337696"/>
    <w:rsid w:val="00340C7F"/>
    <w:rsid w:val="00345FE9"/>
    <w:rsid w:val="00360AF9"/>
    <w:rsid w:val="00376656"/>
    <w:rsid w:val="003A63C1"/>
    <w:rsid w:val="003E20BA"/>
    <w:rsid w:val="00401E90"/>
    <w:rsid w:val="0041307D"/>
    <w:rsid w:val="00413C96"/>
    <w:rsid w:val="004167D8"/>
    <w:rsid w:val="0041748A"/>
    <w:rsid w:val="00436168"/>
    <w:rsid w:val="00441D95"/>
    <w:rsid w:val="0044462D"/>
    <w:rsid w:val="004606C9"/>
    <w:rsid w:val="00462C02"/>
    <w:rsid w:val="00463F6E"/>
    <w:rsid w:val="004720CA"/>
    <w:rsid w:val="00487D4D"/>
    <w:rsid w:val="00497FAB"/>
    <w:rsid w:val="004A2FD9"/>
    <w:rsid w:val="004B737F"/>
    <w:rsid w:val="004F6D3B"/>
    <w:rsid w:val="004F7A3A"/>
    <w:rsid w:val="00502D0F"/>
    <w:rsid w:val="005241AA"/>
    <w:rsid w:val="00525BE7"/>
    <w:rsid w:val="005550E5"/>
    <w:rsid w:val="00580F5D"/>
    <w:rsid w:val="0058637F"/>
    <w:rsid w:val="0059780B"/>
    <w:rsid w:val="005B2D45"/>
    <w:rsid w:val="005B4A2B"/>
    <w:rsid w:val="005B6E01"/>
    <w:rsid w:val="005C2D26"/>
    <w:rsid w:val="005C7485"/>
    <w:rsid w:val="005D0021"/>
    <w:rsid w:val="00616DFE"/>
    <w:rsid w:val="00617856"/>
    <w:rsid w:val="00683238"/>
    <w:rsid w:val="006924A4"/>
    <w:rsid w:val="006A501E"/>
    <w:rsid w:val="006A741C"/>
    <w:rsid w:val="006C514E"/>
    <w:rsid w:val="006C7045"/>
    <w:rsid w:val="006C75AE"/>
    <w:rsid w:val="006D107B"/>
    <w:rsid w:val="006E3402"/>
    <w:rsid w:val="006E48CA"/>
    <w:rsid w:val="006F33BA"/>
    <w:rsid w:val="00707B34"/>
    <w:rsid w:val="007139A8"/>
    <w:rsid w:val="00713A08"/>
    <w:rsid w:val="00725BE1"/>
    <w:rsid w:val="00731296"/>
    <w:rsid w:val="007446A9"/>
    <w:rsid w:val="00752441"/>
    <w:rsid w:val="00753B4A"/>
    <w:rsid w:val="00756659"/>
    <w:rsid w:val="00763CB8"/>
    <w:rsid w:val="007647B9"/>
    <w:rsid w:val="00784716"/>
    <w:rsid w:val="00785B94"/>
    <w:rsid w:val="00791BC5"/>
    <w:rsid w:val="007922EF"/>
    <w:rsid w:val="00793CCA"/>
    <w:rsid w:val="007C0C72"/>
    <w:rsid w:val="007D1473"/>
    <w:rsid w:val="00801C48"/>
    <w:rsid w:val="00801F56"/>
    <w:rsid w:val="00802B9F"/>
    <w:rsid w:val="00813F19"/>
    <w:rsid w:val="00822D4D"/>
    <w:rsid w:val="00830F5E"/>
    <w:rsid w:val="00831BD1"/>
    <w:rsid w:val="00837685"/>
    <w:rsid w:val="00846946"/>
    <w:rsid w:val="00847293"/>
    <w:rsid w:val="00847D4D"/>
    <w:rsid w:val="008603A3"/>
    <w:rsid w:val="008B50B1"/>
    <w:rsid w:val="008B60CF"/>
    <w:rsid w:val="008D33B2"/>
    <w:rsid w:val="008D3BC2"/>
    <w:rsid w:val="008F6A7C"/>
    <w:rsid w:val="008F77FA"/>
    <w:rsid w:val="00900D28"/>
    <w:rsid w:val="00911A4A"/>
    <w:rsid w:val="00920D1D"/>
    <w:rsid w:val="009217A1"/>
    <w:rsid w:val="00927B40"/>
    <w:rsid w:val="0095318D"/>
    <w:rsid w:val="00954404"/>
    <w:rsid w:val="00955607"/>
    <w:rsid w:val="00967E79"/>
    <w:rsid w:val="009741C9"/>
    <w:rsid w:val="009A0648"/>
    <w:rsid w:val="009A3855"/>
    <w:rsid w:val="009B43BD"/>
    <w:rsid w:val="009C44A7"/>
    <w:rsid w:val="009D0420"/>
    <w:rsid w:val="009E432A"/>
    <w:rsid w:val="009E4F0B"/>
    <w:rsid w:val="009F6E4F"/>
    <w:rsid w:val="00A03CD2"/>
    <w:rsid w:val="00A04366"/>
    <w:rsid w:val="00A1269C"/>
    <w:rsid w:val="00A163DE"/>
    <w:rsid w:val="00A30D30"/>
    <w:rsid w:val="00A35A82"/>
    <w:rsid w:val="00A43F5D"/>
    <w:rsid w:val="00A464F0"/>
    <w:rsid w:val="00A53ABC"/>
    <w:rsid w:val="00A57333"/>
    <w:rsid w:val="00A60728"/>
    <w:rsid w:val="00A66CEF"/>
    <w:rsid w:val="00A81BAD"/>
    <w:rsid w:val="00A8693D"/>
    <w:rsid w:val="00A92B0A"/>
    <w:rsid w:val="00AA0D0E"/>
    <w:rsid w:val="00AA3DD9"/>
    <w:rsid w:val="00AA77E0"/>
    <w:rsid w:val="00AC3CFF"/>
    <w:rsid w:val="00AD09ED"/>
    <w:rsid w:val="00AD4399"/>
    <w:rsid w:val="00AD6C82"/>
    <w:rsid w:val="00AE20A7"/>
    <w:rsid w:val="00AF071F"/>
    <w:rsid w:val="00AF6A3C"/>
    <w:rsid w:val="00B06DB8"/>
    <w:rsid w:val="00B22B54"/>
    <w:rsid w:val="00B2592F"/>
    <w:rsid w:val="00B33D2D"/>
    <w:rsid w:val="00B366DE"/>
    <w:rsid w:val="00B47EB3"/>
    <w:rsid w:val="00B5458C"/>
    <w:rsid w:val="00B5762A"/>
    <w:rsid w:val="00B57A9B"/>
    <w:rsid w:val="00B62BEE"/>
    <w:rsid w:val="00BA0716"/>
    <w:rsid w:val="00BA5B9B"/>
    <w:rsid w:val="00BA7B72"/>
    <w:rsid w:val="00BB1C37"/>
    <w:rsid w:val="00BB3A73"/>
    <w:rsid w:val="00BC5441"/>
    <w:rsid w:val="00BD5C27"/>
    <w:rsid w:val="00BD61D5"/>
    <w:rsid w:val="00BD6D30"/>
    <w:rsid w:val="00BE2A6E"/>
    <w:rsid w:val="00BF427D"/>
    <w:rsid w:val="00C801C8"/>
    <w:rsid w:val="00CB4445"/>
    <w:rsid w:val="00CB66CA"/>
    <w:rsid w:val="00CB6804"/>
    <w:rsid w:val="00CC1F6F"/>
    <w:rsid w:val="00CD0745"/>
    <w:rsid w:val="00CD30AF"/>
    <w:rsid w:val="00CD4F34"/>
    <w:rsid w:val="00CD7149"/>
    <w:rsid w:val="00D11CBA"/>
    <w:rsid w:val="00D153B8"/>
    <w:rsid w:val="00D22936"/>
    <w:rsid w:val="00D23D6A"/>
    <w:rsid w:val="00D4318C"/>
    <w:rsid w:val="00D50795"/>
    <w:rsid w:val="00D55B88"/>
    <w:rsid w:val="00D65C00"/>
    <w:rsid w:val="00D769EF"/>
    <w:rsid w:val="00D8778A"/>
    <w:rsid w:val="00DA28B7"/>
    <w:rsid w:val="00DB4780"/>
    <w:rsid w:val="00DB588B"/>
    <w:rsid w:val="00DC2B22"/>
    <w:rsid w:val="00DC750D"/>
    <w:rsid w:val="00DD27EB"/>
    <w:rsid w:val="00DD4A09"/>
    <w:rsid w:val="00E00948"/>
    <w:rsid w:val="00E24028"/>
    <w:rsid w:val="00E25373"/>
    <w:rsid w:val="00E27E25"/>
    <w:rsid w:val="00E307D1"/>
    <w:rsid w:val="00E41F52"/>
    <w:rsid w:val="00E4760A"/>
    <w:rsid w:val="00E47785"/>
    <w:rsid w:val="00E514BA"/>
    <w:rsid w:val="00E56399"/>
    <w:rsid w:val="00E62EB1"/>
    <w:rsid w:val="00E809F4"/>
    <w:rsid w:val="00E97B3E"/>
    <w:rsid w:val="00EA34AF"/>
    <w:rsid w:val="00EA737E"/>
    <w:rsid w:val="00EB2161"/>
    <w:rsid w:val="00EB2A05"/>
    <w:rsid w:val="00ED3896"/>
    <w:rsid w:val="00EE597E"/>
    <w:rsid w:val="00EE7755"/>
    <w:rsid w:val="00EF0354"/>
    <w:rsid w:val="00EF6E2A"/>
    <w:rsid w:val="00EF7FB2"/>
    <w:rsid w:val="00F025C1"/>
    <w:rsid w:val="00F1527A"/>
    <w:rsid w:val="00F16E60"/>
    <w:rsid w:val="00F278AA"/>
    <w:rsid w:val="00F5229E"/>
    <w:rsid w:val="00F726A9"/>
    <w:rsid w:val="00F726FF"/>
    <w:rsid w:val="00F7537A"/>
    <w:rsid w:val="00F77DD2"/>
    <w:rsid w:val="00F91D3E"/>
    <w:rsid w:val="00F962BE"/>
    <w:rsid w:val="00FA681D"/>
    <w:rsid w:val="00FD18F4"/>
    <w:rsid w:val="00FD338B"/>
    <w:rsid w:val="00FD7CFF"/>
    <w:rsid w:val="00FE6C1E"/>
    <w:rsid w:val="00FF2D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8A0323"/>
  <w15:docId w15:val="{54540794-B8B9-4DAE-8C4A-585CF87A2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paragraph" w:styleId="berarbeitung">
    <w:name w:val="Revision"/>
    <w:hidden/>
    <w:uiPriority w:val="99"/>
    <w:semiHidden/>
    <w:rsid w:val="00E809F4"/>
    <w:pPr>
      <w:spacing w:after="0" w:line="240" w:lineRule="auto"/>
    </w:pPr>
    <w:rPr>
      <w:rFonts w:ascii="Verdana" w:eastAsia="Times New Roman" w:hAnsi="Verdana" w:cs="Verdana"/>
      <w:sz w:val="20"/>
      <w:szCs w:val="20"/>
      <w:lang w:bidi="ar-SA"/>
    </w:rPr>
  </w:style>
  <w:style w:type="character" w:styleId="Kommentarzeichen">
    <w:name w:val="annotation reference"/>
    <w:basedOn w:val="Absatz-Standardschriftart"/>
    <w:uiPriority w:val="99"/>
    <w:semiHidden/>
    <w:unhideWhenUsed/>
    <w:rsid w:val="00502D0F"/>
    <w:rPr>
      <w:sz w:val="16"/>
      <w:szCs w:val="16"/>
    </w:rPr>
  </w:style>
  <w:style w:type="paragraph" w:styleId="Kommentartext">
    <w:name w:val="annotation text"/>
    <w:basedOn w:val="Standard"/>
    <w:link w:val="KommentartextZchn"/>
    <w:uiPriority w:val="99"/>
    <w:unhideWhenUsed/>
    <w:rsid w:val="00502D0F"/>
    <w:pPr>
      <w:spacing w:line="240" w:lineRule="auto"/>
    </w:pPr>
  </w:style>
  <w:style w:type="character" w:customStyle="1" w:styleId="KommentartextZchn">
    <w:name w:val="Kommentartext Zchn"/>
    <w:basedOn w:val="Absatz-Standardschriftart"/>
    <w:link w:val="Kommentartext"/>
    <w:uiPriority w:val="99"/>
    <w:rsid w:val="00502D0F"/>
    <w:rPr>
      <w:rFonts w:ascii="Verdana" w:eastAsia="Times New Roman" w:hAnsi="Verdana" w:cs="Verdana"/>
      <w:sz w:val="20"/>
      <w:szCs w:val="20"/>
      <w:lang w:bidi="ar-SA"/>
    </w:rPr>
  </w:style>
  <w:style w:type="paragraph" w:styleId="Kommentarthema">
    <w:name w:val="annotation subject"/>
    <w:basedOn w:val="Kommentartext"/>
    <w:next w:val="Kommentartext"/>
    <w:link w:val="KommentarthemaZchn"/>
    <w:uiPriority w:val="99"/>
    <w:semiHidden/>
    <w:unhideWhenUsed/>
    <w:rsid w:val="00502D0F"/>
    <w:rPr>
      <w:b/>
      <w:bCs/>
    </w:rPr>
  </w:style>
  <w:style w:type="character" w:customStyle="1" w:styleId="KommentarthemaZchn">
    <w:name w:val="Kommentarthema Zchn"/>
    <w:basedOn w:val="KommentartextZchn"/>
    <w:link w:val="Kommentarthema"/>
    <w:uiPriority w:val="99"/>
    <w:semiHidden/>
    <w:rsid w:val="00502D0F"/>
    <w:rPr>
      <w:rFonts w:ascii="Verdana" w:eastAsia="Times New Roman" w:hAnsi="Verdana" w:cs="Verdana"/>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lo.com/en/Media/Corporate-News/Top-grades-for-environmental-transparency-Wilo-makes-the-A-List-of-the-Carbon-Disclosure-Project_59136.html"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ilo.com/en/Media/Corporate-News/Four-times-platinum-Wilo-once-again-receives-the-top-rating-from-EcoVadis-_56832.html" TargetMode="Externa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yperlink" Target="http://www.wilo.com" TargetMode="External"/><Relationship Id="rId20" Type="http://schemas.openxmlformats.org/officeDocument/2006/relationships/hyperlink" Target="http://www.wil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lo.com/en/Media/Corporate-News/Four-times-platinum-Wilo-once-again-receives-the-top-rating-from-EcoVadis-_56832.htm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ilo.com/en/Media/Corporate-News/Strong-partner-Wilo-develops-global-health-management-with-BASF_58304.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ilas.schefers@wilo.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lo.com/en/Media/Corporate-News/Wilo-Global-WATER-AI-Academy-connects-water-and-AI-expertise-worldwide_59264.htm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2C2EBA-3E0D-4C8C-814F-A38291B9E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customXml/itemProps3.xml><?xml version="1.0" encoding="utf-8"?>
<ds:datastoreItem xmlns:ds="http://schemas.openxmlformats.org/officeDocument/2006/customXml" ds:itemID="{C9576DDE-EF95-4293-B205-5BC47784CE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651B4F-2378-4D71-8C5B-C7E9077DF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653</Words>
  <Characters>4372</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Schefers Silas</cp:lastModifiedBy>
  <cp:revision>6</cp:revision>
  <cp:lastPrinted>2026-03-26T08:17:00Z</cp:lastPrinted>
  <dcterms:created xsi:type="dcterms:W3CDTF">2026-03-26T09:21:00Z</dcterms:created>
  <dcterms:modified xsi:type="dcterms:W3CDTF">2026-03-26T10:50:00Z</dcterms:modified>
</cp:coreProperties>
</file>